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hint="eastAsia" w:ascii="Arial" w:hAnsi="Arial" w:cs="Arial"/>
          <w:sz w:val="22"/>
          <w:highlight w:val="none"/>
        </w:rPr>
      </w:pPr>
      <w:r>
        <w:rPr>
          <w:rFonts w:hint="eastAsia" w:ascii="Arial" w:hAnsi="Arial" w:cs="Arial"/>
          <w:sz w:val="22"/>
          <w:highlight w:val="none"/>
        </w:rPr>
        <w:t xml:space="preserve"> IC-981;</w:t>
      </w:r>
      <w:r>
        <w:rPr>
          <w:rFonts w:ascii="Arial" w:hAnsi="Arial" w:cs="Arial"/>
          <w:sz w:val="22"/>
          <w:highlight w:val="none"/>
        </w:rPr>
        <w:t xml:space="preserve"> </w:t>
      </w:r>
      <w:r>
        <w:rPr>
          <w:rFonts w:hint="eastAsia" w:ascii="Arial" w:hAnsi="Arial" w:cs="Arial"/>
          <w:sz w:val="22"/>
          <w:highlight w:val="none"/>
        </w:rPr>
        <w:t>2K Primer Surfacer(White)</w:t>
      </w:r>
      <w:bookmarkStart w:id="0" w:name="_GoBack"/>
      <w:bookmarkEnd w:id="0"/>
    </w:p>
    <w:p>
      <w:pPr>
        <w:pStyle w:val="11"/>
        <w:spacing w:line="200" w:lineRule="exact"/>
        <w:rPr>
          <w:rFonts w:ascii="Arial" w:hAnsi="Arial" w:cs="Arial"/>
          <w:sz w:val="22"/>
          <w:highlight w:val="none"/>
        </w:rPr>
      </w:pPr>
    </w:p>
    <w:p>
      <w:pPr>
        <w:pStyle w:val="11"/>
        <w:spacing w:line="200" w:lineRule="exact"/>
        <w:rPr>
          <w:rFonts w:ascii="Arial" w:hAnsi="Arial" w:cs="Arial"/>
          <w:sz w:val="22"/>
          <w:highlight w:val="none"/>
        </w:rPr>
      </w:pPr>
      <w:r>
        <w:rPr>
          <w:rFonts w:hint="eastAsia" w:ascii="Arial" w:hAnsi="Arial" w:cs="Arial"/>
          <w:sz w:val="22"/>
          <w:highlight w:val="none"/>
        </w:rPr>
        <w:t xml:space="preserve">            </w:t>
      </w:r>
      <w:r>
        <w:rPr>
          <w:rFonts w:hint="eastAsia" w:ascii="Arial" w:hAnsi="Arial" w:cs="Arial"/>
          <w:sz w:val="22"/>
          <w:highlight w:val="none"/>
          <w:lang w:val="en-US" w:eastAsia="zh-CN"/>
        </w:rPr>
        <w:t>0.8L，</w:t>
      </w:r>
      <w:r>
        <w:rPr>
          <w:rFonts w:ascii="Arial" w:hAnsi="Arial" w:cs="Arial"/>
          <w:sz w:val="22"/>
          <w:highlight w:val="none"/>
        </w:rPr>
        <w:t xml:space="preserve">1L，3.75L </w:t>
      </w:r>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5"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eastAsia="Times New Roman" w:cs="Arial"/>
                <w:color w:val="000000"/>
                <w:sz w:val="24"/>
                <w:szCs w:val="24"/>
                <w:highlight w:val="none"/>
                <w:lang w:eastAsia="zh-CN"/>
              </w:rPr>
              <w:t>Acrylic Resin</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30-35</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79-10-7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Filler </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45-50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Auxiliary Agent</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1-2</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9084-06-4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Xylene</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5-10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2-Acetoxy-1-methoxypropane</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1-2</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N-Butylacetate</w:t>
            </w:r>
          </w:p>
        </w:tc>
        <w:tc>
          <w:tcPr>
            <w:tcW w:w="3625" w:type="dxa"/>
            <w:shd w:val="clear" w:color="auto" w:fill="auto"/>
          </w:tcPr>
          <w:p>
            <w:pPr>
              <w:spacing w:before="10" w:after="0" w:line="240" w:lineRule="exact"/>
              <w:jc w:val="center"/>
              <w:rPr>
                <w:rFonts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5-10</w:t>
            </w:r>
          </w:p>
        </w:tc>
        <w:tc>
          <w:tcPr>
            <w:tcW w:w="3626" w:type="dxa"/>
            <w:shd w:val="clear" w:color="auto" w:fill="auto"/>
          </w:tcPr>
          <w:p>
            <w:pPr>
              <w:spacing w:before="10" w:after="0" w:line="240" w:lineRule="exact"/>
              <w:jc w:val="center"/>
              <w:rPr>
                <w:rFonts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123-86-4</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950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200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710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bl>
    <w:p>
      <w:pPr>
        <w:spacing w:before="13" w:after="0" w:line="240" w:lineRule="exact"/>
        <w:rPr>
          <w:rFonts w:ascii="Arial" w:hAnsi="Arial" w:cs="Arial"/>
          <w:sz w:val="24"/>
          <w:szCs w:val="24"/>
          <w:highlight w:val="none"/>
          <w:lang w:eastAsia="zh-CN"/>
        </w:rPr>
      </w:pPr>
    </w:p>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hint="default" w:ascii="Arial" w:hAnsi="Arial" w:eastAsia="宋体" w:cs="Arial"/>
          <w:sz w:val="24"/>
          <w:szCs w:val="24"/>
          <w:highlight w:val="none"/>
          <w:lang w:val="en-US"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val="en-US" w:eastAsia="zh-CN"/>
        </w:rPr>
        <w:t xml:space="preserve">Grey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hint="eastAsia"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xylene (mixture of isomeres)</w:t>
      </w:r>
    </w:p>
    <w:p>
      <w:pPr>
        <w:tabs>
          <w:tab w:val="left" w:pos="2620"/>
          <w:tab w:val="left" w:pos="4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1330-20-7</w:t>
      </w:r>
      <w:r>
        <w:rPr>
          <w:rFonts w:ascii="Arial" w:hAnsi="Arial" w:eastAsia="Times New Roman" w:cs="Arial"/>
          <w:sz w:val="24"/>
          <w:szCs w:val="24"/>
          <w:highlight w:val="none"/>
        </w:rPr>
        <w:tab/>
      </w:r>
      <w:r>
        <w:rPr>
          <w:rFonts w:ascii="Arial" w:hAnsi="Arial" w:eastAsia="Times New Roman" w:cs="Arial"/>
          <w:sz w:val="24"/>
          <w:szCs w:val="24"/>
          <w:highlight w:val="none"/>
        </w:rPr>
        <w:t>OECD 301 A</w:t>
      </w:r>
      <w:r>
        <w:rPr>
          <w:rFonts w:ascii="Arial" w:hAnsi="Arial" w:eastAsia="Times New Roman" w:cs="Arial"/>
          <w:sz w:val="24"/>
          <w:szCs w:val="24"/>
          <w:highlight w:val="none"/>
        </w:rPr>
        <w:tab/>
      </w:r>
      <w:r>
        <w:rPr>
          <w:rFonts w:ascii="Arial" w:hAnsi="Arial" w:eastAsia="Times New Roman" w:cs="Arial"/>
          <w:sz w:val="24"/>
          <w:szCs w:val="24"/>
          <w:highlight w:val="none"/>
        </w:rPr>
        <w:t>readily bio-degradable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65</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65</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00" w:lineRule="exact"/>
      <w:rPr>
        <w:rFonts w:ascii="Arial" w:hAnsi="Arial" w:cs="Arial"/>
      </w:rPr>
    </w:pPr>
  </w:p>
  <w:p>
    <w:pPr>
      <w:pStyle w:val="12"/>
      <w:spacing w:line="200" w:lineRule="exact"/>
      <w:jc w:val="center"/>
      <w:rPr>
        <w:rFonts w:ascii="Arial" w:hAnsi="Arial" w:cs="Arial"/>
        <w:b/>
        <w:bCs/>
        <w:color w:val="000000"/>
        <w:sz w:val="36"/>
      </w:rPr>
    </w:pPr>
  </w:p>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1"/>
      <w:spacing w:line="200" w:lineRule="exact"/>
      <w:rPr>
        <w:rFonts w:ascii="Arial" w:hAnsi="Arial" w:cs="Arial"/>
        <w:sz w:val="22"/>
      </w:rPr>
    </w:pPr>
  </w:p>
  <w:p>
    <w:pPr>
      <w:pStyle w:val="11"/>
      <w:spacing w:line="200" w:lineRule="exact"/>
      <w:ind w:right="-98"/>
      <w:rPr>
        <w:rFonts w:hint="default" w:ascii="Arial" w:hAnsi="Arial" w:eastAsia="宋体" w:cs="Arial"/>
        <w:sz w:val="22"/>
        <w:highlight w:val="none"/>
        <w:lang w:val="en-US" w:eastAsia="zh-CN"/>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Name</w:t>
    </w:r>
    <w:r>
      <w:rPr>
        <w:rFonts w:ascii="Arial" w:hAnsi="Arial" w:cs="Arial"/>
        <w:sz w:val="22"/>
      </w:rPr>
      <w:t>:</w:t>
    </w:r>
    <w:r>
      <w:rPr>
        <w:rFonts w:ascii="Arial" w:hAnsi="Arial" w:cs="Arial"/>
        <w:sz w:val="22"/>
        <w:highlight w:val="none"/>
      </w:rPr>
      <w:t xml:space="preserve"> IC-</w:t>
    </w:r>
    <w:r>
      <w:rPr>
        <w:rFonts w:hint="eastAsia" w:ascii="Arial" w:hAnsi="Arial" w:cs="Arial"/>
        <w:sz w:val="22"/>
        <w:highlight w:val="none"/>
        <w:lang w:val="en-US" w:eastAsia="zh-CN"/>
      </w:rPr>
      <w:t>981</w:t>
    </w:r>
    <w:r>
      <w:rPr>
        <w:rFonts w:ascii="Arial" w:hAnsi="Arial" w:cs="Arial"/>
        <w:sz w:val="22"/>
        <w:highlight w:val="none"/>
      </w:rPr>
      <w:t xml:space="preserve">  </w:t>
    </w:r>
    <w:r>
      <w:rPr>
        <w:rFonts w:hint="eastAsia" w:ascii="Arial" w:hAnsi="Arial" w:cs="Arial"/>
        <w:sz w:val="22"/>
        <w:highlight w:val="none"/>
      </w:rPr>
      <w:t>2K Primer Surfacer(White)</w:t>
    </w:r>
    <w:r>
      <w:rPr>
        <w:rFonts w:ascii="Arial" w:hAnsi="Arial" w:cs="Arial"/>
        <w:sz w:val="22"/>
        <w:highlight w:val="none"/>
      </w:rPr>
      <w:t xml:space="preserve">   </w:t>
    </w:r>
    <w:r>
      <w:rPr>
        <w:rFonts w:hint="eastAsia" w:ascii="Arial" w:hAnsi="Arial" w:cs="Arial"/>
        <w:sz w:val="22"/>
        <w:highlight w:val="none"/>
      </w:rPr>
      <w:t xml:space="preserve">               MSDS No.：SDS-2019-12-IC-</w:t>
    </w:r>
    <w:r>
      <w:rPr>
        <w:rFonts w:hint="eastAsia" w:ascii="Arial" w:hAnsi="Arial" w:cs="Arial"/>
        <w:sz w:val="22"/>
        <w:highlight w:val="none"/>
        <w:lang w:val="en-US" w:eastAsia="zh-CN"/>
      </w:rPr>
      <w:t>981</w:t>
    </w:r>
  </w:p>
  <w:p>
    <w:pPr>
      <w:pStyle w:val="11"/>
      <w:spacing w:line="200" w:lineRule="exact"/>
      <w:ind w:right="-98"/>
      <w:rPr>
        <w:rFonts w:ascii="Arial" w:hAnsi="Arial" w:cs="Arial"/>
        <w:sz w:val="22"/>
      </w:rPr>
    </w:pPr>
    <w:r>
      <w:rPr>
        <w:rFonts w:ascii="Arial" w:hAnsi="Arial" w:cs="Arial"/>
        <w:sz w:val="22"/>
      </w:rPr>
      <w:t xml:space="preserve">                                    </w:t>
    </w:r>
  </w:p>
  <w:p>
    <w:pPr>
      <w:pStyle w:val="11"/>
      <w:spacing w:line="200" w:lineRule="exact"/>
      <w:rPr>
        <w:rFonts w:ascii="Arial" w:hAnsi="Arial" w:cs="Arial"/>
        <w:sz w:val="22"/>
      </w:rPr>
    </w:pPr>
    <w:r>
      <w:rPr>
        <w:rFonts w:hint="eastAsia" w:ascii="Arial" w:hAnsi="Arial" w:cs="Arial"/>
        <w:sz w:val="22"/>
      </w:rPr>
      <w:t xml:space="preserve">         </w:t>
    </w:r>
    <w:r>
      <w:rPr>
        <w:rFonts w:ascii="Arial" w:hAnsi="Arial" w:cs="Arial"/>
        <w:sz w:val="22"/>
      </w:rPr>
      <w:t xml:space="preserve">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4BDE"/>
    <w:rsid w:val="00301EF9"/>
    <w:rsid w:val="003357AA"/>
    <w:rsid w:val="003E48FA"/>
    <w:rsid w:val="004318AD"/>
    <w:rsid w:val="00444C13"/>
    <w:rsid w:val="00451215"/>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44E7E"/>
    <w:rsid w:val="00E04D00"/>
    <w:rsid w:val="00E56648"/>
    <w:rsid w:val="00E67BE8"/>
    <w:rsid w:val="00ED1914"/>
    <w:rsid w:val="00F54B8E"/>
    <w:rsid w:val="059D4F49"/>
    <w:rsid w:val="1C5F010C"/>
    <w:rsid w:val="2D681D80"/>
    <w:rsid w:val="49C50F41"/>
    <w:rsid w:val="554075F5"/>
    <w:rsid w:val="6B7D45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2AE3-A5D3-43CB-9A00-9BF681D4EB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3138</Words>
  <Characters>17890</Characters>
  <Lines>149</Lines>
  <Paragraphs>41</Paragraphs>
  <TotalTime>17</TotalTime>
  <ScaleCrop>false</ScaleCrop>
  <LinksUpToDate>false</LinksUpToDate>
  <CharactersWithSpaces>20987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伟常</cp:lastModifiedBy>
  <dcterms:modified xsi:type="dcterms:W3CDTF">2022-01-05T07:47:11Z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0725DB1A55774BD0B05301439374F98A</vt:lpwstr>
  </property>
</Properties>
</file>